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Heading1"/>
      </w:pPr>
      <w:r>
        <w:t>Seven of Eight AI Deployment Patterns Are Structurally Suppressed</w:t>
      </w:r>
    </w:p>
    <w:p/>
    <w:p>
      <w:pPr>
        <w:pStyle w:val="Heading3"/>
      </w:pPr>
      <w:r>
        <w:t>The 2026 landscape propagates on capital, distribution, and lock-in — not on structural merit.</w:t>
      </w:r>
    </w:p>
    <w:p/>
    <w:p>
      <w:r>
        <w:t xml:space="preserve">**THE GROVE FOUNDATION · AI PATTERN BENCHMARK · MARCH 2026 · CC BY 4.0**</w:t>
      </w:r>
    </w:p>
    <w:p/>
    <w:p>
      <w:r>
        <w:t xml:space="preserve">**Date of Analysis: March 8, 2026**</w:t>
      </w:r>
    </w:p>
    <w:p/>
    <w:p>
      <w:r>
        <w:t xml:space="preserve">---</w:t>
      </w:r>
    </w:p>
    <w:p/>
    <w:p>
      <w:pPr>
        <w:pStyle w:val="Heading2"/>
      </w:pPr>
      <w:r>
        <w:t>What this benchmark measures</w:t>
      </w:r>
    </w:p>
    <w:p/>
    <w:p>
      <w:r>
        <w:t xml:space="preserve">Gartner measures market momentum. Forrester measures vendor capability. IDC measures competitive positioning. None of them asks the question that determines whether a technology wins the 36-month race: does the pattern propagate on its own structural merits, or does it require continuous external subsidy to sustain adoption?</w:t>
      </w:r>
    </w:p>
    <w:p/>
    <w:p>
      <w:r>
        <w:t xml:space="preserve">The Λ framework measures that question directly. It treats adoption as a structural mechanics problem. Capital can accelerate inferior architectures for three to five years. Distribution power can sustain them inside an installed base. Neither subsidy survives the displacement pressure that accumulates once cognitive friction drops and an alternative becomes structurally accessible.</w:t>
      </w:r>
    </w:p>
    <w:p/>
    <w:p>
      <w:r>
        <w:t xml:space="preserve">Eight AI deployment patterns. One equation. Observable data only — legal frameworks, deployment economics, regulatory exposure, cognitive load. Ninety-six cited sources. No vendor narratives.</w:t>
      </w:r>
    </w:p>
    <w:p/>
    <w:p>
      <w:pPr>
        <w:pStyle w:val="Heading2"/>
      </w:pPr>
      <w:r>
        <w:t>The finding</w:t>
      </w:r>
    </w:p>
    <w:p/>
    <w:p>
      <w:r>
        <w:t xml:space="preserve">One pattern is Approaching Critical: Mistral/DeepSeek at Λ = 0.0314. Two patterns sit Sub-Critical. Five patterns — including all three platform-bundle and centralized-API incumbents — are Structurally Inert.</w:t>
      </w:r>
    </w:p>
    <w:p/>
    <w:p>
      <w:r>
        <w:t xml:space="preserve">The $650 billion AI infrastructure buildout is structurally suppressed. It propagates on venture capital, enterprise distribution power, and accumulated contractual lock-in. Remove the subsidy and the propagation stalls or reverses.</w:t>
      </w:r>
    </w:p>
    <w:p/>
    <w:p>
      <w:r>
        <w:t xml:space="preserve">That is the finding. The rest of this paper shows the math.</w:t>
      </w:r>
    </w:p>
    <w:p/>
    <w:p>
      <w:pPr>
        <w:pStyle w:val="Heading2"/>
      </w:pPr>
      <w:r>
        <w:t>The equation, briefly</w:t>
      </w:r>
    </w:p>
    <w:p/>
    <w:p>
      <w:r>
        <w:t xml:space="preserve">**Λ = (S × R × V) · [ 1 / (1 + (β · Fc)²) ]**</w:t>
      </w:r>
    </w:p>
    <w:p/>
    <w:p>
      <w:r>
        <w:t xml:space="preserve">*Spreadability (S)* — how freely the pattern copies. Licensing permissiveness, network topology, replication cost. Range 0 to 1.</w:t>
      </w:r>
    </w:p>
    <w:p/>
    <w:p>
      <w:r>
        <w:t xml:space="preserve">*Standardized Rails (R)* — how easily the pattern integrates with existing infrastructure. Protocol compatibility, deployment tooling maturity, ecosystem support. Range 0 to 1.</w:t>
      </w:r>
    </w:p>
    <w:p/>
    <w:p>
      <w:r>
        <w:t xml:space="preserve">*Validation Multiplier (V)* — a discount applied to theoretical architectures without deployment data. Range 0.2 (pre-publication) to 1.0 (validated at enterprise scale). New in methodology version 2.0. Prevents theoretical patterns from scoring at theoretical maximums.</w:t>
      </w:r>
    </w:p>
    <w:p/>
    <w:p>
      <w:r>
        <w:t xml:space="preserve">*Cognitive Friction (Fc)* — resistance to adoption measured by objectively observable task-switching costs. Documentation length, UI complexity, paradigm-shift demands, operational process changes. Range 0 to 10.</w:t>
      </w:r>
    </w:p>
    <w:p/>
    <w:p>
      <w:r>
        <w:t xml:space="preserve">*Exogenous Incentive (β)* — external forcing functions that accelerate or dampen adoption. Geometric mean of financial, regulatory, and ideological incentive sub-scores. Lower values indicate stronger forcing functions. Range 0.1 to 10.</w:t>
      </w:r>
    </w:p>
    <w:p/>
    <w:p>
      <w:r>
        <w:t xml:space="preserve">The equation establishes that base structural strength (S × R × V) is necessary but not sufficient. Friction and incentive dominate whenever their product becomes large. A pattern with excellent rails and poor incentives does not propagate. A pattern with moderate rails and powerful incentives — Bitcoin is the canonical historical case — can overcome extreme friction.</w:t>
      </w:r>
    </w:p>
    <w:p/>
    <w:p>
      <w:pPr>
        <w:pStyle w:val="Heading2"/>
      </w:pPr>
      <w:r>
        <w:t>Four historical cases anchor the framework</w:t>
      </w:r>
    </w:p>
    <w:p/>
    <w:p>
      <w:r>
        <w:t xml:space="preserve">The Λ framework is not arbitrary. Calibrated against four well-documented technology adoptions, it reproduces recognizable outcomes.</w:t>
      </w:r>
    </w:p>
    <w:p/>
    <w:p>
      <w:r>
        <w:t xml:space="preserve">| Case | S | R | V | Fc | β | Λ | Tier |</w:t>
      </w:r>
    </w:p>
    <w:p>
      <w:r>
        <w:t xml:space="preserve">|------|-----|------|-----|------|------|--------|------|</w:t>
      </w:r>
    </w:p>
    <w:p>
      <w:r>
        <w:t xml:space="preserve">| TCP/IP (vs. OSI) | 0.95 | 0.80 | 1.0 | 2.5 | 0.33 | **0.452** | Critical Mass |</w:t>
      </w:r>
    </w:p>
    <w:p>
      <w:r>
        <w:t xml:space="preserve">| ISO Shipping Container | 0.80 | 0.95 | 1.0 | 1.0 | 1.00 | **0.380** | Critical Mass |</w:t>
      </w:r>
    </w:p>
    <w:p>
      <w:r>
        <w:t xml:space="preserve">| Bitcoin | 0.90 | 0.40 | 1.0 | 7.0 | 0.20 | **0.122** | Critical Mass |</w:t>
      </w:r>
    </w:p>
    <w:p>
      <w:r>
        <w:t xml:space="preserve">| US Metric System (US market) | 0.80 | 0.40 | 1.0 | 10.0 | 1.00 | **0.003** | Structurally Inert |</w:t>
      </w:r>
    </w:p>
    <w:p/>
    <w:p>
      <w:r>
        <w:t xml:space="preserve">TCP/IP propagated at Λ = 0.452. Open standard. Permissive replication. Powerful interconnection incentive overcame moderate technical friction. Critical Mass.</w:t>
      </w:r>
    </w:p>
    <w:p/>
    <w:p>
      <w:r>
        <w:t xml:space="preserve">The ISO Shipping Container propagated at Λ = 0.380. Near-zero cognitive friction. Immediate operational compatibility with existing port infrastructure. Critical Mass.</w:t>
      </w:r>
    </w:p>
    <w:p/>
    <w:p>
      <w:r>
        <w:t xml:space="preserve">Bitcoin propagated at Λ = 0.122 despite Fc = 7.0 — extreme cognitive friction. The counterweight was β = 0.20, an unprecedented speculative financial incentive. The framework correctly captures that extreme external incentive can compensate for extreme adoption barriers.</w:t>
      </w:r>
    </w:p>
    <w:p/>
    <w:p>
      <w:r>
        <w:t xml:space="preserve">The US Metric System has remained at Λ = 0.003 — Structurally Inert — in the American consumer market for 150 years. Maximum cognitive switching cost. No external forcing function. The framework captures why spreadability alone is insufficient without friction or incentive support.</w:t>
      </w:r>
    </w:p>
    <w:p/>
    <w:p>
      <w:r>
        <w:t xml:space="preserve">Each case passes the intuition test. The math produces the history.</w:t>
      </w:r>
    </w:p>
    <w:p/>
    <w:p>
      <w:r>
        <w:t xml:space="preserve">---</w:t>
      </w:r>
    </w:p>
    <w:p/>
    <w:p>
      <w:pPr>
        <w:pStyle w:val="Heading3"/>
      </w:pPr>
      <w:r>
        <w:t>APRIL STRUCTURAL SHIFT — Note on Gemma 4 and Open-Weight Dynamics</w:t>
      </w:r>
    </w:p>
    <w:p/>
    <w:p>
      <w:r>
        <w:t xml:space="preserve">*The data and Λ scoring in this March 2026 benchmark were finalized prior to the early April release of Gemma 4 under an Apache license. The release represents a significant advancement on the open-weight front and materially alters the structural mechanics of the landscape.*</w:t>
      </w:r>
    </w:p>
    <w:p/>
    <w:p>
      <w:r>
        <w:t xml:space="preserve">*Specifically, the introduction of a highly capable, Apache-licensed frontier model shifts the baseline Spreadability (S) calculations across the Sovereignty Profile and introduces new, compounding Exogenous Incentives (β) against the current Dependency Profile incumbents. The Λ framework is currently running against this new deployment reality. Full mathematical impact will be reflected in the Q2 landscape update, scheduled for late June.*</w:t>
      </w:r>
    </w:p>
    <w:p/>
    <w:p>
      <w:r>
        <w:t xml:space="preserve">*Organizations providing financial support to The Grove Foundation receive priority, continuous visibility into emerging mid-cycle structural phase changes before public quarterly release.*</w:t>
      </w:r>
    </w:p>
    <w:p/>
    <w:p>
      <w:r>
        <w:t xml:space="preserve">---</w:t>
      </w:r>
    </w:p>
    <w:p/>
    <w:p>
      <w:pPr>
        <w:pStyle w:val="Heading2"/>
      </w:pPr>
      <w:r>
        <w:t>The 2026 landscape, scored</w:t>
      </w:r>
    </w:p>
    <w:p/>
    <w:p>
      <w:r>
        <w:t xml:space="preserve">| Pattern | Category | S | R | V | Fc | β | S×R×V | Λ | Tier |</w:t>
      </w:r>
    </w:p>
    <w:p>
      <w:r>
        <w:t xml:space="preserve">|---------|----------|------|------|-----|------|-------|-------|--------|------|</w:t>
      </w:r>
    </w:p>
    <w:p>
      <w:r>
        <w:t xml:space="preserve">| **Mistral / DeepSeek** | Open-Weight | 0.80 | 0.60 | 1.0 | 6.0 | 0.630 | 0.480 | **0.0314** | Approaching Critical |</w:t>
      </w:r>
    </w:p>
    <w:p>
      <w:r>
        <w:t xml:space="preserve">| **Meta Llama** | Open-Weight | 0.70 | 0.70 | 1.0 | 5.0 | 1.357 | 0.490 | **0.0104** | Sub-Critical |</w:t>
      </w:r>
    </w:p>
    <w:p>
      <w:r>
        <w:t xml:space="preserve">| **Apple Intelligence** | On-Device | 0.20 | 0.57 | 1.0 | 2.0 | 1.710 | 0.114 | **0.0090** | Sub-Critical |</w:t>
      </w:r>
    </w:p>
    <w:p>
      <w:r>
        <w:t xml:space="preserve">| **Anthropic Claude** | Centralized API | 0.47 | 0.80 | 1.0 | 5.0 | 1.587 | 0.376 | **0.0059** | Sub-Critical |</w:t>
      </w:r>
    </w:p>
    <w:p>
      <w:r>
        <w:t xml:space="preserve">| **OpenAI GPT** | Centralized API | 0.47 | 0.93 | 1.0 | 6.0 | 2.924 | 0.437 | **0.0014** | Structurally Inert |</w:t>
      </w:r>
    </w:p>
    <w:p>
      <w:r>
        <w:t xml:space="preserve">| **Google Gemini** | Platform Bundle | 0.30 | 0.80 | 1.0 | 5.0 | 2.924 | 0.240 | **0.0011** | Structurally Inert |</w:t>
      </w:r>
    </w:p>
    <w:p>
      <w:r>
        <w:t xml:space="preserve">| **Microsoft Copilot** | Platform Bundle | 0.30 | 0.80 | 1.0 | 8.0 | 5.000 | 0.240 | **0.0002** | Structurally Inert |</w:t>
      </w:r>
    </w:p>
    <w:p>
      <w:r>
        <w:t xml:space="preserve">| **Autonomaton** | Sovereign Open | 0.93 | 0.83 | 0.2 | 6.0 | 6.300 | 0.154 | **0.0001** | Structurally Inert |</w:t>
      </w:r>
    </w:p>
    <w:p/>
    <w:p>
      <w:pPr>
        <w:pStyle w:val="Heading2"/>
      </w:pPr>
      <w:r>
        <w:t>Two structural clusters define the field</w:t>
      </w:r>
    </w:p>
    <w:p/>
    <w:p>
      <w:r>
        <w:t xml:space="preserve">The landscape separates cleanly into two structural profiles.</w:t>
      </w:r>
    </w:p>
    <w:p/>
    <w:p>
      <w:r>
        <w:t xml:space="preserve">**The Dependency Profile** combines high Standardized Rails with low Spreadability. OpenAI GPT, Google Gemini, and Microsoft Copilot sit in this cluster. These patterns integrate easily. Enterprise infrastructure is already shaped around them — SDK support is universal, documentation is extensive, procurement paths are well-paved. Proprietary constraints suppress the transferability of anything the organization learns while using them. Fine-tuning rights are restricted. Model weights are unavailable. Prompt architectures tuned for one vendor's model are worthless on another's. Each quarter of adoption accumulates switching cost rather than structural leverage.</w:t>
      </w:r>
    </w:p>
    <w:p/>
    <w:p>
      <w:r>
        <w:t xml:space="preserve">**The Sovereignty Profile** combines high Spreadability with variable Cognitive Friction. Mistral/DeepSeek, Meta Llama, and the Autonomaton pattern sit in this cluster. These patterns permit transferable competence. Self-hosting infrastructure, fine-tuning on proprietary data, architectural control — the capability builds inside the organization rather than inside the vendor. The cost is initial friction. Specialized engineering talent must be deployed. Paradigms must shift.</w:t>
      </w:r>
    </w:p>
    <w:p/>
    <w:p>
      <w:r>
        <w:t xml:space="preserve">The central strategic tension of the 2026 AI landscape: **Dependency Profile patterns are easier to adopt and harder to leave. Sovereignty Profile patterns are harder to adopt and easier to leave.**</w:t>
      </w:r>
    </w:p>
    <w:p/>
    <w:p>
      <w:r>
        <w:t xml:space="preserve">Which profile wins depends on how quickly friction falls. It is falling fast.</w:t>
      </w:r>
    </w:p>
    <w:p/>
    <w:p>
      <w:pPr>
        <w:pStyle w:val="Heading2"/>
      </w:pPr>
      <w:r>
        <w:t>Eight AI Adoption Patterns Scored</w:t>
      </w:r>
    </w:p>
    <w:p/>
    <w:p>
      <w:pPr>
        <w:pStyle w:val="Heading3"/>
      </w:pPr>
      <w:r>
        <w:t>OpenAI GPT — Λ = 0.0014, Structurally Inert</w:t>
      </w:r>
    </w:p>
    <w:p/>
    <w:p>
      <w:r>
        <w:t xml:space="preserve">OpenAI holds the highest Standardized Rails score in the landscape (R = 0.93). Universal ecosystem support. Widest deployment vocabulary among developers. Structurally Inert anyway. The composite exogenous incentive (β = 2.924) offers no compelling external force beyond general enterprise demand. Cognitive friction (Fc = 6.0) compounds under the kind of catastrophic deprecation event that occurred on February 13, 2026, when GPT-4o was retired with three months' notice. Enterprises building critical workflows on the pattern discovered the logic they had tuned was rented, not owned. **Rails without sovereignty is a trap, not an advantage.**</w:t>
      </w:r>
    </w:p>
    <w:p/>
    <w:p>
      <w:pPr>
        <w:pStyle w:val="Heading3"/>
      </w:pPr>
      <w:r>
        <w:t>Anthropic Claude — Λ = 0.0059, Sub-Critical</w:t>
      </w:r>
    </w:p>
    <w:p/>
    <w:p>
      <w:r>
        <w:t xml:space="preserve">Lower cognitive friction through ISO 42001 certification, structured safety positioning, and cleaner enterprise onboarding. The structural pattern is identical: a rented, centralized dependency. AWS Bedrock integration deepens infrastructural lock-in each quarter. Token-caching mechanics are proprietary. The vulnerability surface is the same shape as OpenAI's, moved forward one step on the trust-and-compliance curve.</w:t>
      </w:r>
    </w:p>
    <w:p/>
    <w:p>
      <w:pPr>
        <w:pStyle w:val="Heading3"/>
      </w:pPr>
      <w:r>
        <w:t>Microsoft Copilot — Λ = 0.0002, Structurally Inert</w:t>
      </w:r>
    </w:p>
    <w:p/>
    <w:p>
      <w:r>
        <w:t xml:space="preserve">The lowest-scoring pattern in the landscape. Of 450 million commercial Microsoft 365 seats, Copilot achieves 3.3% paid conversion. The pattern layers AI onto rigid legacy user interfaces, producing friction rather than transformation. CFOs demanding profit-and-loss accountability for the $30-per-seat monthly upgrade are not finding it. The denominator math is unambiguous: Fc = 8.0 combined with β = 5.0 produces a friction-incentive product of 40, squared to 1,600. This is a sales motion sustained by Microsoft 365 distribution power, not a structural pattern with propagation leverage.</w:t>
      </w:r>
    </w:p>
    <w:p/>
    <w:p>
      <w:pPr>
        <w:pStyle w:val="Heading3"/>
      </w:pPr>
      <w:r>
        <w:t>Google Gemini — Λ = 0.0011, Structurally Inert</w:t>
      </w:r>
    </w:p>
    <w:p/>
    <w:p>
      <w:r>
        <w:t xml:space="preserve">Embedded into BigQuery and Drive data gravity, which creates exit friction once adopted. The path to adoption is fragmented. Procurement officers confront a product surface that includes Gemini, Vertex AI, AI Studio, and Agent Builder — with no coherent signal about which deployment path to choose. Fragmentation compresses base rails (R = 0.80) below what infrastructural strength would otherwise suggest.</w:t>
      </w:r>
    </w:p>
    <w:p/>
    <w:p>
      <w:pPr>
        <w:pStyle w:val="Heading3"/>
      </w:pPr>
      <w:r>
        <w:t>Apple Intelligence — Λ = 0.0090, Sub-Critical</w:t>
      </w:r>
    </w:p>
    <w:p/>
    <w:p>
      <w:r>
        <w:t xml:space="preserve">The lowest Cognitive Friction score in the landscape (Fc = 2.0). Full system integration. No engineering lift for the user. Spreadability is crushed (S = 0.20) by the closed hardware requirement. The pattern only propagates across Apple silicon — which means the friction advantage cannot compound into architectural spreadability. The organization does not build transferable capability. It builds Apple-shaped capability.</w:t>
      </w:r>
    </w:p>
    <w:p/>
    <w:p>
      <w:pPr>
        <w:pStyle w:val="Heading3"/>
      </w:pPr>
      <w:r>
        <w:t>Meta Llama — Λ = 0.0104, Sub-Critical</w:t>
      </w:r>
    </w:p>
    <w:p/>
    <w:p>
      <w:r>
        <w:t xml:space="preserve">Previously the landscape leader under methodology version 1.0's min() β aggregation. The 2.0 geometric mean reveals structural fragility the earlier math masked. Strong financial incentive (β_fin = 0.5) is offset by weak regulatory alignment (β_reg = 5.0) and moderate ideological incentive (β_ideo = 1.0), producing a composite β = 1.357 — more than double what the minimum method captured.</w:t>
      </w:r>
    </w:p>
    <w:p/>
    <w:p>
      <w:r>
        <w:t xml:space="preserve">Two external signals confirm the fragility. The Llama 4 EU geofencing (April 2025) restricted frontier access in a major enterprise market. The Avocado closed-source transition (reported December 2025) indicates Meta may weaken the open-weight incentive structure further rather than strengthen it. The 700 million monthly active user threshold in the commercial license remains a structural cap on enterprise adoption.</w:t>
      </w:r>
    </w:p>
    <w:p/>
    <w:p>
      <w:pPr>
        <w:pStyle w:val="Heading3"/>
      </w:pPr>
      <w:r>
        <w:t>Mistral/DeepSeek — Λ = 0.0314, Approaching Critical</w:t>
      </w:r>
    </w:p>
    <w:p/>
    <w:p>
      <w:r>
        <w:t xml:space="preserve">The only pattern above the 0.03 threshold. Leadership rests on balanced incentive structure: financial (β_fin = 0.5), regulatory (β_reg = 0.5), and ideological (β_ideo = 1.0) forces pulling in concert. The geometric mean rewards this balance. Cost savings at scale, sovereignty alignment with non-US government procurement, and open-source ideological alignment combine to produce the landscape's lowest (strongest) β at 0.630.</w:t>
      </w:r>
    </w:p>
    <w:p/>
    <w:p>
      <w:r>
        <w:t xml:space="preserve">The structural vulnerability is geopolitical. DeepSeek faces United States and European Union government scrutiny. Regulatory bans would push β_reg toward 1.0 or higher, collapsing the composite β toward 1.0 and pushing Λ back into Sub-Critical. The tooling ecosystem is also immature. As it matures, Fc drops and Λ rises. The next 18 months will determine whether geopolitical pressure or tooling maturation moves faster.</w:t>
      </w:r>
    </w:p>
    <w:p/>
    <w:p>
      <w:pPr>
        <w:pStyle w:val="Heading3"/>
      </w:pPr>
      <w:r>
        <w:t>The Autonomaton — Λ = 0.0001, Structurally Inert</w:t>
      </w:r>
    </w:p>
    <w:p/>
    <w:p>
      <w:r>
        <w:t xml:space="preserve">The pattern specification holds the landscape's highest structural base (S × R = 0.77) — 57% higher than the nearest competitor. CC BY 4.0 licensing. Model-agnostic architecture. Legacy compatibility without rip-and-replace. The pattern's five-stage pipeline — Telemetry, Recognition, Compilation, Approval, Execution — is published as an open specification rather than embedded in any particular code framework. Reference specification available at the-grove.ai/standards/001.</w:t>
      </w:r>
    </w:p>
    <w:p/>
    <w:p>
      <w:r>
        <w:t xml:space="preserve">The denominator currently crushes the base. V = 0.2 reflects pre-publication status. β = 6.3 reflects the absence of an exogenous forcing function — no API pricing crisis yet, no regulatory enforcement yet, no catastrophic vendor lock-in event yet. The friction-incentive product is 37.8, squared to 1,429.</w:t>
      </w:r>
    </w:p>
    <w:p/>
    <w:p>
      <w:r>
        <w:t xml:space="preserve">The Autonomaton is scored here using the same methodology applied to every other pattern. The score does not flatter the sponsoring organization. It describes a structurally superior pattern that has not yet activated.</w:t>
      </w:r>
    </w:p>
    <w:p/>
    <w:p>
      <w:pPr>
        <w:pStyle w:val="Heading2"/>
      </w:pPr>
      <w:r>
        <w:t>What would move these scores</w:t>
      </w:r>
    </w:p>
    <w:p/>
    <w:p>
      <w:r>
        <w:t xml:space="preserve">Sensitivity analysis reveals that the current landscape is not stable. The scores shift meaningfully under realistic scenarios.</w:t>
      </w:r>
    </w:p>
    <w:p/>
    <w:p>
      <w:r>
        <w:t xml:space="preserve">Mistral/DeepSeek drops from Approaching Critical to Sub-Critical (Λ = 0.0130) if Western regulatory bans intensify and push composite β toward 1.0. The same pattern rises further into Approaching Critical territory (Λ = 0.0531) if tooling maturation drops friction to Fc = 4.5. The next two years will determine which direction moves faster.</w:t>
      </w:r>
    </w:p>
    <w:p/>
    <w:p>
      <w:r>
        <w:t xml:space="preserve">Meta Llama could reach Approaching Critical (Λ = 0.0554) with simultaneous tooling investment (Fc = 3.5) and strengthened financial incentive (β = 0.8). The same pattern drops to Structurally Inert (Λ = 0.0023) if the Avocado closed-source trajectory continues and ideological incentive weakens further.</w:t>
      </w:r>
    </w:p>
    <w:p/>
    <w:p>
      <w:r>
        <w:t xml:space="preserve">Microsoft Copilot does not move out of Structurally Inert on pricing alone. A pricing cut to ROI-supportive levels still produces Λ = 0.0004. A simultaneous friction drop (to Fc = 5.0) plus pricing cut yields Λ = 0.0011 — still Structurally Inert. Reaching even Sub-Critical requires simultaneous improvements in pricing, workflow integration, and a regulatory or ideological mandate that currently does not exist.</w:t>
      </w:r>
    </w:p>
    <w:p/>
    <w:p>
      <w:r>
        <w:t xml:space="preserve">The Autonomaton pattern reaches Sub-Critical (Λ = 0.0228) with tooling-driven friction reduction (Fc = 3.0) combined with a strong exogenous shock (β = 0.8). The pattern reaches Critical Mass (Λ = 0.1142) only when V shifts from 0.2 to 1.0 — which requires real-world enterprise deployments at scale. That is a longer-horizon projection than the market-driven shifts modeled above.</w:t>
      </w:r>
    </w:p>
    <w:p/>
    <w:p>
      <w:r>
        <w:t xml:space="preserve">The sensitivity analysis establishes what the operators in each position would have to believe to justify their current trajectory. The centralized API vendors would have to believe no pricing crisis, no regulatory enforcement, and no catastrophic vendor lock-in event will materialize over the next 24 months. The historical base rate on that kind of bet is unfavorable.</w:t>
      </w:r>
    </w:p>
    <w:p/>
    <w:p>
      <w:pPr>
        <w:pStyle w:val="Heading2"/>
      </w:pPr>
      <w:r>
        <w:t>The displacement sequence</w:t>
      </w:r>
    </w:p>
    <w:p/>
    <w:p>
      <w:r>
        <w:t xml:space="preserve">The data suggests a four-stage displacement over 36 to 48 months.</w:t>
      </w:r>
    </w:p>
    <w:p/>
    <w:p>
      <w:r>
        <w:t xml:space="preserve">**Stage 1 — Now. Centralized APIs.** Rented inference. Ephemeral models. Unpriced deprecation risk. Budget fatigue building.</w:t>
      </w:r>
    </w:p>
    <w:p/>
    <w:p>
      <w:r>
        <w:t xml:space="preserve">**Stage 2 — 12 to 18 months. Platform Bundles.** Consolidated billing. Existing governance relationships. AI as a line item in the Microsoft, Google, and Salesforce renewal. Adoption driven by procurement convenience, not structural advantage. CFOs continue demanding ROI that the products structurally cannot produce.</w:t>
      </w:r>
    </w:p>
    <w:p/>
    <w:p>
      <w:r>
        <w:t xml:space="preserve">**Stage 3 — 18 to 30 months. Open-Weight.** Self-hosting economics decisively cheaper at sustained inference volume. METR capability data shows an 89-day doubling time — frontier performance compressing onto commodity hardware. At 2 million daily tokens or higher, self-hosting produces 80 to 90 percent savings against the centralized APIs. Data sovereignty becomes a differentiator rather than a compliance checkbox.</w:t>
      </w:r>
    </w:p>
    <w:p/>
    <w:p>
      <w:r>
        <w:t xml:space="preserve">**Stage 4 — 30 to 48 months. Distributed Sovereign.** Model-agnostic governance architecture. Swappable cognition layers on open specifications. The 89-day upgrade cycle is performed within the organization rather than dictated by the vendor's product calendar.</w:t>
      </w:r>
    </w:p>
    <w:p/>
    <w:p>
      <w:r>
        <w:t xml:space="preserve">The centralization of AI is a temporary artifact of industrial-scale infrastructure costs. The mathematical trajectory favors decentralized, sovereign architectures once the cognitive friction of their implementation resolves. METR capability data proves intelligence is commoditizing. **The endgame is architectural spreadability, not model intelligence.**</w:t>
      </w:r>
    </w:p>
    <w:p/>
    <w:p>
      <w:pPr>
        <w:pStyle w:val="Heading2"/>
      </w:pPr>
      <w:r>
        <w:t>The operator's brief</w:t>
      </w:r>
    </w:p>
    <w:p/>
    <w:p>
      <w:r>
        <w:t xml:space="preserve">Four directives fall out of the structural analysis. Each is positioned against a current default behavior that the math no longer supports.</w:t>
      </w:r>
    </w:p>
    <w:p/>
    <w:p>
      <w:pPr>
        <w:pStyle w:val="Heading3"/>
      </w:pPr>
      <w:r>
        <w:t>Stop renting your cognition</w:t>
      </w:r>
    </w:p>
    <w:p/>
    <w:p>
      <w:r>
        <w:t xml:space="preserve">Relying on centralized APIs for core enterprise workflows is not buying capability. It is renting logic the vendor retires on the vendor's schedule. The GPT-4o deprecation in February 2026 was a three-month notice event that broke production workflows at every enterprise that had tuned prompt architectures to that specific model. That class of event will recur. Each occurrence punishes the organizations that invested in vendor-specific customization and rewards the organizations that built model-agnostic pipelines. Customization against proprietary surfaces accumulates switching cost, not capability. Build against abstractions that outlive any single model.</w:t>
      </w:r>
    </w:p>
    <w:p/>
    <w:p>
      <w:pPr>
        <w:pStyle w:val="Heading3"/>
      </w:pPr>
      <w:r>
        <w:t>Freeze the per-seat AI upgrade</w:t>
      </w:r>
    </w:p>
    <w:p/>
    <w:p>
      <w:r>
        <w:t xml:space="preserve">Microsoft Copilot is the lowest-scoring deployment pattern in the landscape for a measurable reason. A 3.3% paid conversion across 450 million commercial seats is what happens when AI is layered onto rigid legacy interfaces at a $30-per-seat monthly price. The pattern produces friction, not transformation. CFOs are correct to refuse the expense without profit-and-loss accountability. If the AI seat does not produce a defensible return, it does not belong in the renewal. The same logic applies to Gemini Enterprise additions and to any AI functionality priced as an upgrade to an existing subscription. The pattern is an upsell motion, not an operational advantage.</w:t>
      </w:r>
    </w:p>
    <w:p/>
    <w:p>
      <w:pPr>
        <w:pStyle w:val="Heading3"/>
      </w:pPr>
      <w:r>
        <w:t>Pivot toward sovereignty before the economics force it</w:t>
      </w:r>
    </w:p>
    <w:p/>
    <w:p>
      <w:r>
        <w:t xml:space="preserve">Self-hosting economics are already decisive at sustained inference volume. At 2 million daily tokens or higher, running open-weight models on owned or rented compute produces 80 to 90 percent cost savings against the centralized APIs. METR's 89-day capability doubling time is compressing frontier performance onto commodity hardware faster than any enterprise procurement cycle can track. The organizations that deploy specialized engineering talent now — to prove out self-hosting, fine-tuning on proprietary data, and open-weight deployment patterns — will be *18 months ahead* of the peers who wait for the economics to force the move. The initial friction is the investment. The capability stays inside the organization instead of inside the vendor.</w:t>
      </w:r>
    </w:p>
    <w:p/>
    <w:p>
      <w:pPr>
        <w:pStyle w:val="Heading3"/>
      </w:pPr>
      <w:r>
        <w:t>Build the middleware, not the model commitment</w:t>
      </w:r>
    </w:p>
    <w:p/>
    <w:p>
      <w:r>
        <w:t xml:space="preserve">Model capabilities are commoditizing. Intelligence is compressing into a layer that swaps cleanly when a better layer appears. The CTO's architectural responsibility is no longer to pick the winning model — it is to build the middleware that makes any given model replaceable. Governance pipelines, telemetry ownership, approval gates, and declarative skill compilation belong to the organization, not the model. If the middleware is right, Mistral today, Llama tomorrow, and whatever open-weight frontier model arrives in nine months are interchangeable within the same operational surface. The Autonomaton pattern at the-grove.ai/standards/001 is one published specification for this middleware class. Others are needed.</w:t>
      </w:r>
    </w:p>
    <w:p/>
    <w:p>
      <w:r>
        <w:t xml:space="preserve">The underlying math favors open, decentralized, and sovereign architecture. Capital and distribution power are artificially sustaining the closed-source and platform-bundle patterns. The closed-source era is not ending because the vendors will change. It is ending because the structural mechanics of propagation no longer permit the current arrangement to sustain itself at scale.</w:t>
      </w:r>
    </w:p>
    <w:p/>
    <w:p>
      <w:pPr>
        <w:pStyle w:val="Heading2"/>
      </w:pPr>
      <w:r>
        <w:t>The specification gap</w:t>
      </w:r>
    </w:p>
    <w:p/>
    <w:p>
      <w:r>
        <w:t xml:space="preserve">The landscape analysis reveals an absence worth naming.</w:t>
      </w:r>
    </w:p>
    <w:p/>
    <w:p>
      <w:r>
        <w:t xml:space="preserve">Every existing open-source agent framework is a code implementation with governance assumptions baked into the code. LangChain, LangGraph, AutoGen, Semantic Kernel, CrewAI, AutoGPT, OpenAI Swarm, Haystack, LlamaIndex — all published under MIT or Apache 2.0 licenses, all requiring the adopting organization to accept both the framework's implementation choices and its implicit architectural opinions.</w:t>
      </w:r>
    </w:p>
    <w:p/>
    <w:p>
      <w:r>
        <w:t xml:space="preserve">The vendor-published pattern catalogues solve a different problem. Google's Agent Design Patterns documentation describes workflow orchestration through the lens of Google's Agent Development Kit. Salesforce's Enterprise Agentic Architecture describes patterns that presume Salesforce platform commitment. Anthropic's Model Context Protocol specifies context binding but does not address the broader governance pipeline. Each is locked to its issuing vendor's platform or narrow in scope.</w:t>
      </w:r>
    </w:p>
    <w:p/>
    <w:p>
      <w:r>
        <w:t xml:space="preserve">No CC BY 4.0 pattern specification currently exists for composable, model-agnostic, governance-first self-authoring software. This is the open category structural analysis identifies as the highest-leverage intervention point: a pattern specification independent of any specific model or code framework, published under a license that permits derivative works, describing governance-first architecture that wraps rather than replaces existing infrastructure.</w:t>
      </w:r>
    </w:p>
    <w:p/>
    <w:p>
      <w:r>
        <w:t xml:space="preserve">The Autonomaton is one attempt to fill this category. There should be others. Each additional CC BY 4.0 specification increases landscape-wide Spreadability and reduces friction against sovereign architecture adoption.</w:t>
      </w:r>
    </w:p>
    <w:p/>
    <w:p>
      <w:pPr>
        <w:pStyle w:val="Heading2"/>
      </w:pPr>
      <w:r>
        <w:t>Conflict of interest</w:t>
      </w:r>
    </w:p>
    <w:p/>
    <w:p>
      <w:r>
        <w:t xml:space="preserve">The Grove Foundation publishes this framework and champions the Autonomaton architecture. The Autonomaton pattern is scored within this report using the same methodology applied to all other deployment patterns. Readers should independently evaluate whether the scoring reflects that institutional affiliation and are encouraged to challenge the provided input variables.</w:t>
      </w:r>
    </w:p>
    <w:p/>
    <w:p>
      <w:r>
        <w:t xml:space="preserve">The Autonomaton currently scores Λ = 0.0001 — the lowest in the landscape. Structurally Inert. The V = 0.2 discount reflects pre-publication status honestly. The β = 6.3 reflects the absence of exogenous incentive honestly. If Grove were tilting the methodology to favor the pattern it publishes, that score would not appear in the table.</w:t>
      </w:r>
    </w:p>
    <w:p/>
    <w:p>
      <w:r>
        <w:t xml:space="preserve">Every input variable and sub-score is cited to source. The methodology is CC BY 4.0. Independent practitioners are encouraged to re-score the landscape against their own judgment and publish the differences.</w:t>
      </w:r>
    </w:p>
    <w:p/>
    <w:p>
      <w:pPr>
        <w:pStyle w:val="Heading2"/>
      </w:pPr>
      <w:r>
        <w:t>About this research</w:t>
      </w:r>
    </w:p>
    <w:p/>
    <w:p>
      <w:r>
        <w:t xml:space="preserve">The Grove Foundation publishes structural analysis of AI infrastructure adoption under Creative Commons Attribution 4.0. This is the first quarterly Λ landscape audit. Ninety-six sources cited. Eight patterns. Four historical calibrations. Full methodology disclosure at the-grove.ai/standards.</w:t>
      </w:r>
    </w:p>
    <w:p/>
    <w:p>
      <w:r>
        <w:t xml:space="preserve">Member organizations strengthen the methodology and shape what the framework measures. Members receive earlier visibility into emerging structural phase changes as they develop between quarterly publications — movements in incentive dimensions, friction-reduction breakthroughs, regulatory developments that shift scoring. **Members do not shape the scores themselves. That separation is the credibility boundary.**</w:t>
      </w:r>
    </w:p>
    <w:p/>
    <w:p>
      <w:r>
        <w:t xml:space="preserve">The next issue examines a contractual blind spot. Every enterprise AI contract contains "telemetry" language, but the word is undefined terrain. Vendors read it narrowly — error logs, performance signals, basic usage metrics. The actual asset is broader: interaction patterns, decision points, authorization flows, and the expressions of human judgment captured at scale. From those patterns come the models sold back to the organizations that generated them. AI vendor contracts signed in the summer of 2026 without a fulsome definition of telemetry are not subscriptions. They are permanent transfers of behavioral intelligence to the vendor that captured it under terminology that was never nailed down.</w:t>
      </w:r>
    </w:p>
    <w:p/>
    <w:p>
      <w:r>
        <w:t xml:space="preserve">---</w:t>
      </w:r>
    </w:p>
    <w:p/>
    <w:p>
      <w:r>
        <w:t xml:space="preserve">**The Grove Foundation**</w:t>
      </w:r>
    </w:p>
    <w:p/>
    <w:p>
      <w:r>
        <w:t xml:space="preserve">*"Design is philosophy expressed through constraint."*</w:t>
      </w:r>
    </w:p>
    <w:p/>
    <w:p>
      <w:r>
        <w:t xml:space="preserve">CC BY 4.0 · March 2026 · Issue 002</w:t>
      </w:r>
    </w:p>
    <w:p/>
    <w:p>
      <w:r>
        <w:t xml:space="preserve">96 sources · 8 patterns · 4 historical calibrations</w:t>
      </w:r>
    </w:p>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docDefaults>
  <w:style w:type="paragraph" w:styleId="Normal" w:default="1">
    <w:name w:val="Normal"/>
  </w:style>
  <w:style w:type="paragraph" w:styleId="Heading1">
    <w:name w:val="heading 1"/>
    <w:pPr>
      <w:outlineLvl w:val="0"/>
    </w:pPr>
    <w:rPr>
      <w:b/>
      <w:sz w:val="32"/>
    </w:rPr>
  </w:style>
  <w:style w:type="paragraph" w:styleId="Heading2">
    <w:name w:val="heading 2"/>
    <w:pPr>
      <w:outlineLvl w:val="1"/>
    </w:pPr>
    <w:rPr>
      <w:b/>
      <w:sz w:val="28"/>
    </w:rPr>
  </w:style>
  <w:style w:type="paragraph" w:styleId="Heading3">
    <w:name w:val="heading 3"/>
    <w:pPr>
      <w:outlineLvl w:val="2"/>
    </w:pPr>
    <w:rPr>
      <w:b/>
      <w:sz w:val="24"/>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